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jc w:val="center"/>
        <w:textAlignment w:val="auto"/>
        <w:rPr>
          <w:rFonts w:hint="eastAsia"/>
          <w:b/>
          <w:bCs/>
          <w:sz w:val="24"/>
          <w:szCs w:val="24"/>
        </w:rPr>
      </w:pPr>
      <w:r>
        <w:rPr>
          <w:rFonts w:hint="eastAsia"/>
          <w:b/>
          <w:bCs/>
          <w:sz w:val="24"/>
          <w:szCs w:val="24"/>
        </w:rPr>
        <w:t>办理赴台手续须知</w:t>
      </w:r>
    </w:p>
    <w:p>
      <w:pPr>
        <w:ind w:left="0"/>
        <w:jc w:val="left"/>
        <w:textAlignment w:val="auto"/>
        <w:rPr>
          <w:rFonts w:hint="eastAsia"/>
        </w:rPr>
      </w:pPr>
    </w:p>
    <w:p>
      <w:pPr>
        <w:ind w:left="0"/>
        <w:jc w:val="left"/>
        <w:textAlignment w:val="auto"/>
        <w:rPr>
          <w:rFonts w:hint="eastAsia"/>
        </w:rPr>
      </w:pPr>
      <w:r>
        <w:rPr>
          <w:rFonts w:hint="eastAsia" w:eastAsia="宋体"/>
          <w:lang w:val="en-US" w:eastAsia="zh-CN"/>
        </w:rPr>
        <w:t xml:space="preserve">  </w:t>
      </w:r>
      <w:r>
        <w:rPr>
          <w:rFonts w:hint="eastAsia"/>
        </w:rPr>
        <w:t xml:space="preserve">  1、申请人须提供台湾邀请方的邀请信、行程表（上有邀请方的章或邀请人的签名）、邀请方简介。赴台参加两岸会议须再提供大陆与会人员名单和会议背景介绍。赴台湾地区参加各类国际会议或活动，除上述文件外须再提供邀请方承诺书和参与活动人员总名单。除参与活动人员总名单外，其他资料需用中文。所有提交材料中不能出现“中华民国”或“ROC”的字样,不得使用民国记年法；</w:t>
      </w:r>
    </w:p>
    <w:p>
      <w:pPr>
        <w:ind w:left="0"/>
        <w:jc w:val="left"/>
        <w:textAlignment w:val="auto"/>
        <w:rPr>
          <w:rFonts w:hint="eastAsia"/>
        </w:rPr>
      </w:pPr>
      <w:r>
        <w:rPr>
          <w:rFonts w:hint="eastAsia"/>
        </w:rPr>
        <w:t xml:space="preserve">    2、到国际合作与交流</w:t>
      </w:r>
      <w:bookmarkStart w:id="0" w:name="_GoBack"/>
      <w:bookmarkEnd w:id="0"/>
      <w:r>
        <w:rPr>
          <w:rFonts w:hint="eastAsia"/>
        </w:rPr>
        <w:t>处网站『表格下载』中下载并填写《华东理工大学赴台人员申请表》，及《赴台人员名单》。去台湾参加会议者，请在申请表中提供论文的中文题目。无论文发表者，原则上不批准前往参加学术会议。有特殊情况者，需另外提交情况说明；</w:t>
      </w:r>
    </w:p>
    <w:p>
      <w:pPr>
        <w:ind w:left="0"/>
        <w:jc w:val="left"/>
        <w:textAlignment w:val="auto"/>
        <w:rPr>
          <w:rFonts w:hint="eastAsia"/>
        </w:rPr>
      </w:pPr>
      <w:r>
        <w:rPr>
          <w:rFonts w:hint="eastAsia"/>
        </w:rPr>
        <w:t xml:space="preserve">     3、将电子形式的邀请信、行程表、邀请方简介、《华东理工大学赴台人员申请表》、《赴台人员名单》（参加两岸会议者+大陆与会人员名单和会议背景介绍，参加国际会议者再+承诺书和参与活动人员总名单）等发送到校港澳台事务办公室，由其为申请人办理校内审批手续；</w:t>
      </w:r>
    </w:p>
    <w:p>
      <w:pPr>
        <w:ind w:left="0"/>
        <w:jc w:val="left"/>
        <w:textAlignment w:val="auto"/>
        <w:rPr>
          <w:rFonts w:hint="eastAsia"/>
        </w:rPr>
      </w:pPr>
      <w:r>
        <w:rPr>
          <w:rFonts w:hint="eastAsia"/>
        </w:rPr>
        <w:t xml:space="preserve">     4、在通过校内审批程序后，由校港澳台事务办公室将申请材料报送至上海市人民政府台湾事务办公室，为申请人申办“赴台批件”；</w:t>
      </w:r>
    </w:p>
    <w:p>
      <w:pPr>
        <w:ind w:left="0"/>
        <w:jc w:val="left"/>
        <w:textAlignment w:val="auto"/>
        <w:rPr>
          <w:rFonts w:hint="eastAsia"/>
        </w:rPr>
      </w:pPr>
      <w:r>
        <w:rPr>
          <w:rFonts w:hint="eastAsia"/>
        </w:rPr>
        <w:t xml:space="preserve">     5、虽然办理“赴台批件”时不需要提供“入台证”，但申请人还是要及时与台湾邀请方联系，请他们协助办理“入台证”。因为将来去出入境管理局办理“通行证”时需要提供该文件；</w:t>
      </w:r>
    </w:p>
    <w:p>
      <w:pPr>
        <w:ind w:left="0"/>
        <w:jc w:val="left"/>
        <w:textAlignment w:val="auto"/>
        <w:rPr>
          <w:rFonts w:hint="eastAsia"/>
        </w:rPr>
      </w:pPr>
      <w:r>
        <w:rPr>
          <w:rFonts w:hint="eastAsia"/>
        </w:rPr>
        <w:t xml:space="preserve">     6、港澳台事务办公室将及时反馈市台办在审批过程中发现的问题，申请人据此补充更新申请材料。上级部门审批通过后将下达“赴台批件”；</w:t>
      </w:r>
    </w:p>
    <w:p>
      <w:pPr>
        <w:ind w:left="0"/>
        <w:jc w:val="left"/>
        <w:textAlignment w:val="auto"/>
        <w:rPr>
          <w:rFonts w:hint="eastAsia"/>
        </w:rPr>
      </w:pPr>
      <w:r>
        <w:rPr>
          <w:rFonts w:hint="eastAsia"/>
        </w:rPr>
        <w:t xml:space="preserve">     7、申请人持赴台批件、户口簿、身份证、入台证（以上均需原件）、两张小二寸证件照至上海市公安局出入境管理局(民生路1500号)当场填写《大陆居民往来台湾地区申请审批表》并办理赴台通行证和/或签注。因需查验原件、收取复印件，建议同时携带赴台批件、户口簿、身份证、入台证的复印件（其中批件的复印份数与申请人数相同），以免当场复印的不便；办证时间通常为5个工作日。已拥有通行证的人，请带上通行证带；</w:t>
      </w:r>
    </w:p>
    <w:p>
      <w:pPr>
        <w:ind w:left="0"/>
        <w:jc w:val="left"/>
        <w:textAlignment w:val="auto"/>
        <w:rPr>
          <w:rFonts w:hint="eastAsia"/>
        </w:rPr>
      </w:pPr>
      <w:r>
        <w:rPr>
          <w:rFonts w:hint="eastAsia"/>
        </w:rPr>
        <w:t xml:space="preserve">     8、得到批件后，可至校港澳台事务办公室索取学校上行文和校领导网上批示的复印件，作为到校财务处申领外汇及将来报销时的依据；</w:t>
      </w:r>
    </w:p>
    <w:p>
      <w:pPr>
        <w:ind w:left="0"/>
        <w:jc w:val="left"/>
        <w:textAlignment w:val="auto"/>
        <w:rPr>
          <w:rFonts w:hint="eastAsia"/>
        </w:rPr>
      </w:pPr>
      <w:r>
        <w:rPr>
          <w:rFonts w:hint="eastAsia"/>
        </w:rPr>
        <w:t xml:space="preserve">     9、由于办理赴台手续比较复杂，一般访问和参加两岸会议的申请建议提前2个月开始办理。参加国际会议或活动、参加外单位组团出访或人数较多的访问，建议提前3个月办理手续。如果遇到寒暑假或长假，应需相应增加时间。</w:t>
      </w:r>
    </w:p>
    <w:p>
      <w:pPr>
        <w:ind w:left="0"/>
        <w:jc w:val="left"/>
        <w:textAlignment w:val="auto"/>
        <w:rPr>
          <w:rFonts w:hint="eastAsia"/>
        </w:rPr>
      </w:pPr>
      <w:r>
        <w:rPr>
          <w:rFonts w:hint="eastAsia"/>
        </w:rPr>
        <w:t xml:space="preserve">    </w:t>
      </w:r>
    </w:p>
    <w:p>
      <w:pPr>
        <w:ind w:left="0"/>
        <w:jc w:val="left"/>
        <w:textAlignment w:val="auto"/>
      </w:pPr>
    </w:p>
    <w:sectPr>
      <w:pgSz w:w="12240" w:h="15840"/>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cumentProtection w:enforcement="0"/>
  <w:compat>
    <w:useFELayout/>
    <w:compatSetting w:name="compatibilityMode" w:uri="http://schemas.microsoft.com/office/word" w:val="12"/>
  </w:compat>
  <w:rsids>
    <w:rsidRoot w:val="00000000"/>
    <w:rsid w:val="17AE3C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6"/>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7"/>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8"/>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19"/>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unhideWhenUsed/>
    <w:qFormat/>
    <w:uiPriority w:val="99"/>
    <w:pPr>
      <w:ind w:left="720"/>
    </w:pPr>
  </w:style>
  <w:style w:type="paragraph" w:styleId="7">
    <w:name w:val="header"/>
    <w:basedOn w:val="1"/>
    <w:link w:val="15"/>
    <w:unhideWhenUsed/>
    <w:qFormat/>
    <w:uiPriority w:val="99"/>
    <w:pPr>
      <w:tabs>
        <w:tab w:val="center" w:pos="4680"/>
        <w:tab w:val="right" w:pos="9360"/>
      </w:tabs>
    </w:pPr>
  </w:style>
  <w:style w:type="paragraph" w:styleId="8">
    <w:name w:val="Subtitle"/>
    <w:basedOn w:val="1"/>
    <w:next w:val="1"/>
    <w:link w:val="20"/>
    <w:qFormat/>
    <w:uiPriority w:val="11"/>
    <w:pPr>
      <w:ind w:left="86"/>
    </w:pPr>
    <w:rPr>
      <w:rFonts w:asciiTheme="majorHAnsi" w:hAnsiTheme="majorHAnsi" w:eastAsiaTheme="majorEastAsia" w:cstheme="majorBidi"/>
      <w:i/>
      <w:iCs/>
      <w:color w:val="4F81BD" w:themeColor="accent1"/>
      <w:spacing w:val="15"/>
      <w:sz w:val="24"/>
      <w:szCs w:val="24"/>
    </w:rPr>
  </w:style>
  <w:style w:type="paragraph" w:styleId="9">
    <w:name w:val="Title"/>
    <w:basedOn w:val="1"/>
    <w:next w:val="1"/>
    <w:link w:val="21"/>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11">
    <w:name w:val="Emphasis"/>
    <w:basedOn w:val="10"/>
    <w:qFormat/>
    <w:uiPriority w:val="20"/>
    <w:rPr>
      <w:i/>
      <w:iCs/>
    </w:rPr>
  </w:style>
  <w:style w:type="character" w:styleId="12">
    <w:name w:val="Hyperlink"/>
    <w:basedOn w:val="10"/>
    <w:unhideWhenUsed/>
    <w:qFormat/>
    <w:uiPriority w:val="99"/>
    <w:rPr>
      <w:color w:val="0000FF" w:themeColor="hyperlink"/>
      <w:u w:val="single"/>
    </w:rPr>
  </w:style>
  <w:style w:type="table" w:styleId="14">
    <w:name w:val="Table Grid"/>
    <w:basedOn w:val="1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5">
    <w:name w:val="Header Char"/>
    <w:basedOn w:val="10"/>
    <w:link w:val="7"/>
    <w:qFormat/>
    <w:uiPriority w:val="99"/>
  </w:style>
  <w:style w:type="character" w:customStyle="1" w:styleId="16">
    <w:name w:val="Heading 1 Char"/>
    <w:basedOn w:val="10"/>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7">
    <w:name w:val="Heading 2 Char"/>
    <w:basedOn w:val="10"/>
    <w:link w:val="3"/>
    <w:qFormat/>
    <w:uiPriority w:val="9"/>
    <w:rPr>
      <w:rFonts w:asciiTheme="majorHAnsi" w:hAnsiTheme="majorHAnsi" w:eastAsiaTheme="majorEastAsia" w:cstheme="majorBidi"/>
      <w:b/>
      <w:bCs/>
      <w:color w:val="4F81BD" w:themeColor="accent1"/>
      <w:sz w:val="26"/>
      <w:szCs w:val="26"/>
    </w:rPr>
  </w:style>
  <w:style w:type="character" w:customStyle="1" w:styleId="18">
    <w:name w:val="Heading 3 Char"/>
    <w:basedOn w:val="10"/>
    <w:link w:val="4"/>
    <w:qFormat/>
    <w:uiPriority w:val="9"/>
    <w:rPr>
      <w:rFonts w:asciiTheme="majorHAnsi" w:hAnsiTheme="majorHAnsi" w:eastAsiaTheme="majorEastAsia" w:cstheme="majorBidi"/>
      <w:b/>
      <w:bCs/>
      <w:color w:val="4F81BD" w:themeColor="accent1"/>
    </w:rPr>
  </w:style>
  <w:style w:type="character" w:customStyle="1" w:styleId="19">
    <w:name w:val="Heading 4 Char"/>
    <w:basedOn w:val="10"/>
    <w:link w:val="5"/>
    <w:qFormat/>
    <w:uiPriority w:val="9"/>
    <w:rPr>
      <w:rFonts w:asciiTheme="majorHAnsi" w:hAnsiTheme="majorHAnsi" w:eastAsiaTheme="majorEastAsia" w:cstheme="majorBidi"/>
      <w:b/>
      <w:bCs/>
      <w:i/>
      <w:iCs/>
      <w:color w:val="4F81BD" w:themeColor="accent1"/>
    </w:rPr>
  </w:style>
  <w:style w:type="character" w:customStyle="1" w:styleId="20">
    <w:name w:val="Subtitle Char"/>
    <w:basedOn w:val="10"/>
    <w:link w:val="8"/>
    <w:qFormat/>
    <w:uiPriority w:val="11"/>
    <w:rPr>
      <w:rFonts w:asciiTheme="majorHAnsi" w:hAnsiTheme="majorHAnsi" w:eastAsiaTheme="majorEastAsia" w:cstheme="majorBidi"/>
      <w:i/>
      <w:iCs/>
      <w:color w:val="4F81BD" w:themeColor="accent1"/>
      <w:spacing w:val="15"/>
      <w:sz w:val="24"/>
      <w:szCs w:val="24"/>
    </w:rPr>
  </w:style>
  <w:style w:type="character" w:customStyle="1" w:styleId="21">
    <w:name w:val="Title Char"/>
    <w:basedOn w:val="10"/>
    <w:link w:val="9"/>
    <w:qFormat/>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2017-05-30T14:17:42Z</dcterms:created>
  <dc:creator>docx4j</dc:creator>
  <cp:lastModifiedBy>Administrator</cp:lastModifiedBy>
  <dcterms:modified xsi:type="dcterms:W3CDTF">2017-05-30T14:20:07Z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